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2F" w:rsidRPr="00F8020A" w:rsidRDefault="00E528F3" w:rsidP="00066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Summary of the </w:t>
      </w:r>
      <w:r w:rsidR="00F8020A" w:rsidRPr="00F8020A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REGULATORY IMPACT ANALYSIS</w:t>
      </w:r>
      <w:r w:rsidR="00F8020A" w:rsidRPr="00F8020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8020A" w:rsidRPr="00E528F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(</w:t>
      </w:r>
      <w:proofErr w:type="spellStart"/>
      <w:r w:rsidR="00F8020A" w:rsidRPr="00E528F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Manifestacion</w:t>
      </w:r>
      <w:proofErr w:type="spellEnd"/>
      <w:r w:rsidR="00F8020A" w:rsidRPr="00E528F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</w:t>
      </w:r>
      <w:proofErr w:type="spellStart"/>
      <w:r w:rsidR="00F8020A" w:rsidRPr="00E528F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impacto</w:t>
      </w:r>
      <w:proofErr w:type="spellEnd"/>
      <w:r w:rsidR="00F8020A" w:rsidRPr="00E528F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proofErr w:type="spellStart"/>
      <w:r w:rsidR="00F8020A" w:rsidRPr="00E528F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regulatorio</w:t>
      </w:r>
      <w:proofErr w:type="spellEnd"/>
      <w:r w:rsidR="00F8020A" w:rsidRPr="00E528F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-</w:t>
      </w:r>
      <w:r w:rsidR="0080503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F8020A" w:rsidRPr="00E528F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MIR) of the </w:t>
      </w:r>
      <w:r w:rsidR="00F8020A" w:rsidRPr="00E528F3">
        <w:rPr>
          <w:rFonts w:ascii="Times New Roman" w:hAnsi="Times New Roman" w:cs="Times New Roman"/>
          <w:b/>
          <w:sz w:val="24"/>
          <w:szCs w:val="24"/>
        </w:rPr>
        <w:t>Agreement to te</w:t>
      </w:r>
      <w:r w:rsidR="00F8020A" w:rsidRPr="008F1E2D">
        <w:rPr>
          <w:rFonts w:ascii="Times New Roman" w:hAnsi="Times New Roman" w:cs="Times New Roman"/>
          <w:b/>
          <w:sz w:val="24"/>
          <w:szCs w:val="24"/>
        </w:rPr>
        <w:t xml:space="preserve">mporarily ban commercial fishing using gillnets and/or long lines operated from small vessels in the north of the </w:t>
      </w:r>
      <w:r w:rsidR="000F2338">
        <w:rPr>
          <w:rFonts w:ascii="Times New Roman" w:hAnsi="Times New Roman" w:cs="Times New Roman"/>
          <w:b/>
          <w:sz w:val="24"/>
          <w:szCs w:val="24"/>
        </w:rPr>
        <w:t>G</w:t>
      </w:r>
      <w:r w:rsidR="00F8020A" w:rsidRPr="008F1E2D">
        <w:rPr>
          <w:rFonts w:ascii="Times New Roman" w:hAnsi="Times New Roman" w:cs="Times New Roman"/>
          <w:b/>
          <w:sz w:val="24"/>
          <w:szCs w:val="24"/>
        </w:rPr>
        <w:t xml:space="preserve">ulf of </w:t>
      </w:r>
      <w:r w:rsidR="00F8020A">
        <w:rPr>
          <w:rFonts w:ascii="Times New Roman" w:hAnsi="Times New Roman" w:cs="Times New Roman"/>
          <w:b/>
          <w:sz w:val="24"/>
          <w:szCs w:val="24"/>
        </w:rPr>
        <w:t>C</w:t>
      </w:r>
      <w:r w:rsidR="00F8020A" w:rsidRPr="008F1E2D">
        <w:rPr>
          <w:rFonts w:ascii="Times New Roman" w:hAnsi="Times New Roman" w:cs="Times New Roman"/>
          <w:b/>
          <w:sz w:val="24"/>
          <w:szCs w:val="24"/>
        </w:rPr>
        <w:t>alifornia.</w:t>
      </w:r>
    </w:p>
    <w:p w:rsidR="00E528F3" w:rsidRDefault="00E528F3" w:rsidP="000663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</w:p>
    <w:p w:rsidR="00483B2F" w:rsidRPr="006F293B" w:rsidRDefault="006F293B" w:rsidP="000663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Background</w:t>
      </w:r>
    </w:p>
    <w:p w:rsidR="00E20423" w:rsidRPr="008F1E2D" w:rsidRDefault="0006636C" w:rsidP="00E52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6636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6636C">
        <w:rPr>
          <w:rFonts w:ascii="Times New Roman" w:hAnsi="Times New Roman" w:cs="Times New Roman"/>
          <w:sz w:val="24"/>
          <w:szCs w:val="24"/>
        </w:rPr>
        <w:t>vaquita</w:t>
      </w:r>
      <w:proofErr w:type="spellEnd"/>
      <w:r w:rsidRPr="00066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636C">
        <w:rPr>
          <w:rFonts w:ascii="Times New Roman" w:hAnsi="Times New Roman" w:cs="Times New Roman"/>
          <w:i/>
          <w:sz w:val="24"/>
          <w:szCs w:val="24"/>
        </w:rPr>
        <w:t>Phocoena</w:t>
      </w:r>
      <w:proofErr w:type="spellEnd"/>
      <w:r w:rsidRPr="0006636C">
        <w:rPr>
          <w:rFonts w:ascii="Times New Roman" w:hAnsi="Times New Roman" w:cs="Times New Roman"/>
          <w:i/>
          <w:sz w:val="24"/>
          <w:szCs w:val="24"/>
        </w:rPr>
        <w:t xml:space="preserve"> sinus</w:t>
      </w:r>
      <w:r w:rsidRPr="000663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one of the six porpoise species in the world. </w:t>
      </w:r>
      <w:r w:rsidRPr="0006636C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is endemic species of Mexico and </w:t>
      </w:r>
      <w:r w:rsidRPr="0006636C">
        <w:rPr>
          <w:rFonts w:ascii="Times New Roman" w:hAnsi="Times New Roman" w:cs="Times New Roman"/>
          <w:sz w:val="24"/>
          <w:szCs w:val="24"/>
        </w:rPr>
        <w:t>inhabits the Gulf of California (Mexico)</w:t>
      </w:r>
      <w:r>
        <w:rPr>
          <w:rFonts w:ascii="Times New Roman" w:hAnsi="Times New Roman" w:cs="Times New Roman"/>
          <w:sz w:val="24"/>
          <w:szCs w:val="24"/>
        </w:rPr>
        <w:t xml:space="preserve">. It has </w:t>
      </w:r>
      <w:r w:rsidRPr="0006636C">
        <w:rPr>
          <w:rFonts w:ascii="Times New Roman" w:hAnsi="Times New Roman" w:cs="Times New Roman"/>
          <w:sz w:val="24"/>
          <w:szCs w:val="24"/>
        </w:rPr>
        <w:t>a highly restricted distribution range</w:t>
      </w:r>
      <w:r>
        <w:rPr>
          <w:rFonts w:ascii="Times New Roman" w:hAnsi="Times New Roman" w:cs="Times New Roman"/>
          <w:sz w:val="24"/>
          <w:szCs w:val="24"/>
        </w:rPr>
        <w:t>. The vaquita population has been in decline for many years and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studies estimate there are less than 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vaquitas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left, which are declining at a rate of 18.5% per year (Fig 1).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6636C">
        <w:rPr>
          <w:rFonts w:ascii="Times New Roman" w:hAnsi="Times New Roman" w:cs="Times New Roman"/>
          <w:sz w:val="24"/>
          <w:szCs w:val="24"/>
        </w:rPr>
        <w:t xml:space="preserve">he International Committee for the Recovery of the </w:t>
      </w:r>
      <w:proofErr w:type="spellStart"/>
      <w:r w:rsidRPr="0006636C">
        <w:rPr>
          <w:rFonts w:ascii="Times New Roman" w:hAnsi="Times New Roman" w:cs="Times New Roman"/>
          <w:sz w:val="24"/>
          <w:szCs w:val="24"/>
        </w:rPr>
        <w:t>Vaquita</w:t>
      </w:r>
      <w:proofErr w:type="spellEnd"/>
      <w:r w:rsidRPr="00066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95D09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CIRVA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="00195D09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recommends that emergency regulations be implemented. </w:t>
      </w:r>
    </w:p>
    <w:p w:rsidR="00195D09" w:rsidRPr="008F1E2D" w:rsidRDefault="00195D09" w:rsidP="0006636C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1E2D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095750" cy="2895600"/>
            <wp:effectExtent l="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4261" t="19877" r="12734" b="12982"/>
                    <a:stretch/>
                  </pic:blipFill>
                  <pic:spPr bwMode="auto">
                    <a:xfrm>
                      <a:off x="0" y="0"/>
                      <a:ext cx="4097141" cy="2896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95D09" w:rsidRPr="008F1E2D" w:rsidRDefault="00195D09" w:rsidP="00397B14">
      <w:pPr>
        <w:spacing w:before="75" w:after="75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ES"/>
        </w:rPr>
        <w:t>Figure 1. Varia</w:t>
      </w:r>
      <w:r w:rsidR="0006636C">
        <w:rPr>
          <w:rFonts w:ascii="Times New Roman" w:eastAsia="Times New Roman" w:hAnsi="Times New Roman" w:cs="Times New Roman"/>
          <w:sz w:val="24"/>
          <w:szCs w:val="24"/>
          <w:lang w:eastAsia="es-ES"/>
        </w:rPr>
        <w:t>tion in population size of the v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ES"/>
        </w:rPr>
        <w:t>aquita. The percentages represent the decline rates (from the 5th Report of CIRVA).</w:t>
      </w:r>
    </w:p>
    <w:p w:rsidR="00E20423" w:rsidRPr="008F1E2D" w:rsidRDefault="00E20423" w:rsidP="00066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3C1E" w:rsidRPr="008F1E2D" w:rsidRDefault="00BA3C1E" w:rsidP="000663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Description of the alternatives and cost and benefits estimates</w:t>
      </w:r>
    </w:p>
    <w:p w:rsidR="00BA3C1E" w:rsidRPr="008F1E2D" w:rsidRDefault="00BE08B4" w:rsidP="00E52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Th</w:t>
      </w:r>
      <w:r w:rsidR="00833DB7">
        <w:rPr>
          <w:rFonts w:ascii="Times New Roman" w:eastAsia="Times New Roman" w:hAnsi="Times New Roman" w:cs="Times New Roman"/>
          <w:sz w:val="24"/>
          <w:szCs w:val="24"/>
          <w:lang w:eastAsia="es-MX"/>
        </w:rPr>
        <w:t>is section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highlight</w:t>
      </w:r>
      <w:r w:rsidR="00833DB7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334E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if no regulation is issued the decline of the vaquita will</w:t>
      </w:r>
      <w:r w:rsidR="008334E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continue</w:t>
      </w:r>
      <w:r w:rsidR="00833DB7">
        <w:rPr>
          <w:rFonts w:ascii="Times New Roman" w:eastAsia="Times New Roman" w:hAnsi="Times New Roman" w:cs="Times New Roman"/>
          <w:sz w:val="24"/>
          <w:szCs w:val="24"/>
          <w:lang w:eastAsia="es-MX"/>
        </w:rPr>
        <w:t>, given that</w:t>
      </w:r>
      <w:r w:rsidR="008334E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previous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and current </w:t>
      </w:r>
      <w:r w:rsidR="008334E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regulations </w:t>
      </w:r>
      <w:r w:rsidR="00833DB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were not sufficient to warrant a population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>recovery</w:t>
      </w:r>
      <w:r w:rsidR="00833DB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and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that </w:t>
      </w:r>
      <w:r w:rsidR="00833DB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 fact, </w:t>
      </w:r>
      <w:r w:rsidR="008334E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the rate of decline increased.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>It</w:t>
      </w:r>
      <w:r w:rsidR="008334E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is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also </w:t>
      </w:r>
      <w:r w:rsidR="008334E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highlighted that </w:t>
      </w:r>
      <w:r w:rsidR="008334E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although voluntary schemes are important to strengthen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>community</w:t>
      </w:r>
      <w:r w:rsidR="000163AF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participation, the relevant authority is not empowered to implement penalties for breaching the agreement.</w:t>
      </w:r>
    </w:p>
    <w:p w:rsidR="000163AF" w:rsidRPr="008F1E2D" w:rsidRDefault="000163AF" w:rsidP="00066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163AF" w:rsidRPr="008F1E2D" w:rsidRDefault="000163AF" w:rsidP="000663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Economic incentives</w:t>
      </w:r>
    </w:p>
    <w:p w:rsidR="000163AF" w:rsidRPr="008F1E2D" w:rsidRDefault="000163AF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Implementing economic incentives are not considered viable as a management measure, given the complexity of integrating the interests of each permit holders. Additionally,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>this measure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may lead to breaching the agreement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>if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the incentive is not provided anymore.</w:t>
      </w:r>
    </w:p>
    <w:p w:rsidR="000163AF" w:rsidRPr="008F1E2D" w:rsidRDefault="000163AF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Thus,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the best option is to 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ban the use of gillnets and long lines, as it will contribute to the recovery of the vaquita population in the </w:t>
      </w:r>
      <w:r w:rsidR="009F798A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medium and long term. </w:t>
      </w:r>
    </w:p>
    <w:p w:rsidR="00CF3F46" w:rsidRPr="008F1E2D" w:rsidRDefault="00CF3F46" w:rsidP="00066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F3F46" w:rsidRPr="008F1E2D" w:rsidRDefault="00CF3F46" w:rsidP="000663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Costs </w:t>
      </w:r>
    </w:p>
    <w:p w:rsidR="00E718D1" w:rsidRPr="008F1E2D" w:rsidRDefault="00CF3F46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The affected individuals are those holding permits and licences for gillnets and long lines in the exclusion area (Northeast of the Gulf of California).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Based on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catch </w:t>
      </w:r>
      <w:r w:rsidR="009C0FEF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data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from 2009 to 2012 in </w:t>
      </w:r>
      <w:proofErr w:type="spellStart"/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Golfo</w:t>
      </w:r>
      <w:proofErr w:type="spellEnd"/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Santa Clara, Sonora and San Felipe</w:t>
      </w:r>
      <w:r w:rsidR="009C0FEF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 Baja California</w:t>
      </w:r>
      <w:r w:rsidR="009C0FEF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</w:t>
      </w:r>
      <w:r w:rsidR="009C0FEF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total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income of 451,659,045.3 Mexican pesos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($) 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was </w:t>
      </w:r>
      <w:r w:rsidR="009C0FEF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estimated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9C0FEF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Whereas in San Felipe BC the ban will be of a 100%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9C0FEF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it will be of only 70% in Santa Clara and Sonora, thus the economic impact will be less in these areas. </w:t>
      </w:r>
      <w:r w:rsidR="00E718D1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Therefore, given the current production data and the unreported fishing, an estimated loss of $424,951,300 pesos is anticipated (see table 1). </w:t>
      </w:r>
    </w:p>
    <w:p w:rsidR="00CF3F46" w:rsidRPr="008F1E2D" w:rsidRDefault="00E718D1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660E1" w:rsidRPr="008F1E2D" w:rsidRDefault="002660E1" w:rsidP="009E6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Table 1: Economic and production loss due to the implementation of the regulation. From SEMARNAT (Dec 2014)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017"/>
        <w:gridCol w:w="803"/>
        <w:gridCol w:w="1753"/>
        <w:gridCol w:w="1536"/>
        <w:gridCol w:w="1915"/>
      </w:tblGrid>
      <w:tr w:rsidR="00E718D1" w:rsidRPr="008F1E2D" w:rsidTr="00137759">
        <w:trPr>
          <w:trHeight w:val="615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Locality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Fisheries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Price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Reported fishing (kg)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Unreported fishing (kg)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18D1" w:rsidRPr="008F1E2D" w:rsidRDefault="002660E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Production value</w:t>
            </w:r>
            <w:r w:rsidR="00E718D1"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(pesos)</w:t>
            </w:r>
          </w:p>
        </w:tc>
      </w:tr>
      <w:tr w:rsidR="00E718D1" w:rsidRPr="008F1E2D" w:rsidTr="00137759">
        <w:trPr>
          <w:trHeight w:val="315"/>
        </w:trPr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San Felipe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Shrimp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$ 240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371,000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51,050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$ 98,229,000</w:t>
            </w:r>
          </w:p>
        </w:tc>
      </w:tr>
      <w:tr w:rsidR="00E718D1" w:rsidRPr="008F1E2D" w:rsidTr="00137759">
        <w:trPr>
          <w:trHeight w:val="315"/>
        </w:trPr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Finfish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3,286,000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940,150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$ 76,070,700</w:t>
            </w:r>
          </w:p>
        </w:tc>
      </w:tr>
      <w:tr w:rsidR="00E718D1" w:rsidRPr="008F1E2D" w:rsidTr="00137759">
        <w:trPr>
          <w:trHeight w:val="315"/>
        </w:trPr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Shark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132,000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52,800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$ 2,956,800</w:t>
            </w:r>
          </w:p>
        </w:tc>
      </w:tr>
      <w:tr w:rsidR="00E718D1" w:rsidRPr="008F1E2D" w:rsidTr="00137759">
        <w:trPr>
          <w:trHeight w:val="315"/>
        </w:trPr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SUB</w:t>
            </w:r>
            <w:r w:rsidR="00137759"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-</w:t>
            </w: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3,789,000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1,044,000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$ 177,256,500</w:t>
            </w:r>
          </w:p>
        </w:tc>
      </w:tr>
      <w:tr w:rsidR="00E718D1" w:rsidRPr="008F1E2D" w:rsidTr="00137759">
        <w:trPr>
          <w:trHeight w:val="315"/>
        </w:trPr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Golfo</w:t>
            </w:r>
            <w:proofErr w:type="spellEnd"/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Santa Clara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Shrimp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$ 240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51,050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$ 165,189,000</w:t>
            </w:r>
          </w:p>
        </w:tc>
      </w:tr>
      <w:tr w:rsidR="00E718D1" w:rsidRPr="008F1E2D" w:rsidTr="00137759">
        <w:trPr>
          <w:trHeight w:val="315"/>
        </w:trPr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Finfish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3,674,000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899,700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$ 82,326,600</w:t>
            </w:r>
          </w:p>
        </w:tc>
      </w:tr>
      <w:tr w:rsidR="00E718D1" w:rsidRPr="008F1E2D" w:rsidTr="00137759">
        <w:trPr>
          <w:trHeight w:val="315"/>
        </w:trPr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Shark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$ 179,200</w:t>
            </w:r>
          </w:p>
        </w:tc>
      </w:tr>
      <w:tr w:rsidR="00E718D1" w:rsidRPr="008F1E2D" w:rsidTr="00137759">
        <w:trPr>
          <w:trHeight w:val="315"/>
        </w:trPr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SUB</w:t>
            </w:r>
            <w:r w:rsidR="00137759"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-</w:t>
            </w: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4,332,000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953,950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$ 247,694,800</w:t>
            </w:r>
          </w:p>
        </w:tc>
      </w:tr>
      <w:tr w:rsidR="00E718D1" w:rsidRPr="008F1E2D" w:rsidTr="00137759">
        <w:trPr>
          <w:trHeight w:val="314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8,121,000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1,997,950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718D1" w:rsidRPr="008F1E2D" w:rsidRDefault="00E718D1" w:rsidP="00066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$ 424,951,300</w:t>
            </w:r>
          </w:p>
        </w:tc>
      </w:tr>
    </w:tbl>
    <w:p w:rsidR="00CF3F46" w:rsidRPr="008F1E2D" w:rsidRDefault="00CF3F46" w:rsidP="00066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3C1E" w:rsidRPr="008F1E2D" w:rsidRDefault="00B55AB8" w:rsidP="000663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Benefits</w:t>
      </w:r>
    </w:p>
    <w:p w:rsidR="00B55AB8" w:rsidRPr="008F1E2D" w:rsidRDefault="00B55AB8" w:rsidP="00066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55AB8" w:rsidRPr="008F1E2D" w:rsidRDefault="00B55AB8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The individuals that are going to benefit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from this agreement 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are those holding permits and licences for gillnets and long lines in the exclusion area (Northeast of the Gulf of California).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702B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SEMARNAT and CONAPESCA estimated the cost of the compensation to permits and licences holders in 100% of the economic loss that is $424,950,600. Additionally, a budget of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>$</w:t>
      </w:r>
      <w:r w:rsidR="005702B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28,210,000 will be given to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individuals in</w:t>
      </w:r>
      <w:r w:rsidR="005702B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the production </w:t>
      </w:r>
      <w:r w:rsidR="00953E0B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chain</w:t>
      </w:r>
      <w:r w:rsidR="005702B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E00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that will be </w:t>
      </w:r>
      <w:r w:rsidR="005702B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affected by this regulation. Lastly, an extra $540,699,880 will be destined to a Community monitoring programme to engage the impacted sector in common activities of inspection and monitoring</w:t>
      </w:r>
      <w:r w:rsidR="00397B1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(Table 2)</w:t>
      </w:r>
      <w:r w:rsidR="005702B4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F10AFA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The monitoring programme will include 35 trips a year per vessel (considering 806 vessels), with a cost of </w:t>
      </w:r>
      <w:r w:rsidR="00397B14">
        <w:rPr>
          <w:rFonts w:ascii="Times New Roman" w:eastAsia="Times New Roman" w:hAnsi="Times New Roman" w:cs="Times New Roman"/>
          <w:sz w:val="24"/>
          <w:szCs w:val="24"/>
          <w:lang w:eastAsia="es-MX"/>
        </w:rPr>
        <w:t>$</w:t>
      </w:r>
      <w:r w:rsidR="00F10AFA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1000 per trip.</w:t>
      </w:r>
    </w:p>
    <w:p w:rsidR="00127391" w:rsidRPr="008F1E2D" w:rsidRDefault="00127391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55AB8" w:rsidRPr="008F1E2D" w:rsidRDefault="00127391" w:rsidP="009E6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Table 2. Estimation of the compensation due to the finishing ban. From SEMARNAT (Dec 2014)</w:t>
      </w:r>
    </w:p>
    <w:tbl>
      <w:tblPr>
        <w:tblStyle w:val="TableGrid"/>
        <w:tblW w:w="6504" w:type="dxa"/>
        <w:jc w:val="center"/>
        <w:tblLook w:val="04A0" w:firstRow="1" w:lastRow="0" w:firstColumn="1" w:lastColumn="0" w:noHBand="0" w:noVBand="1"/>
      </w:tblPr>
      <w:tblGrid>
        <w:gridCol w:w="4614"/>
        <w:gridCol w:w="1890"/>
      </w:tblGrid>
      <w:tr w:rsidR="00127391" w:rsidRPr="008F1E2D" w:rsidTr="00137759">
        <w:trPr>
          <w:trHeight w:val="315"/>
          <w:jc w:val="center"/>
        </w:trPr>
        <w:tc>
          <w:tcPr>
            <w:tcW w:w="4614" w:type="dxa"/>
            <w:shd w:val="clear" w:color="auto" w:fill="C2D69B" w:themeFill="accent3" w:themeFillTint="99"/>
            <w:noWrap/>
            <w:vAlign w:val="center"/>
            <w:hideMark/>
          </w:tcPr>
          <w:p w:rsidR="00127391" w:rsidRPr="008F1E2D" w:rsidRDefault="00953E0B" w:rsidP="000663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MX"/>
              </w:rPr>
              <w:t>Programme component</w:t>
            </w:r>
          </w:p>
        </w:tc>
        <w:tc>
          <w:tcPr>
            <w:tcW w:w="1890" w:type="dxa"/>
            <w:shd w:val="clear" w:color="auto" w:fill="C2D69B" w:themeFill="accent3" w:themeFillTint="99"/>
            <w:noWrap/>
            <w:vAlign w:val="center"/>
            <w:hideMark/>
          </w:tcPr>
          <w:p w:rsidR="00127391" w:rsidRPr="008F1E2D" w:rsidRDefault="00953E0B" w:rsidP="000663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MX"/>
              </w:rPr>
              <w:t>Compensation</w:t>
            </w:r>
          </w:p>
        </w:tc>
      </w:tr>
      <w:tr w:rsidR="00AB147E" w:rsidRPr="008F1E2D" w:rsidTr="00D0277C">
        <w:trPr>
          <w:trHeight w:val="315"/>
          <w:jc w:val="center"/>
        </w:trPr>
        <w:tc>
          <w:tcPr>
            <w:tcW w:w="4614" w:type="dxa"/>
            <w:noWrap/>
            <w:vAlign w:val="center"/>
            <w:hideMark/>
          </w:tcPr>
          <w:p w:rsidR="00AB147E" w:rsidRPr="008F1E2D" w:rsidRDefault="00AB147E" w:rsidP="000663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Fisheries production value</w:t>
            </w:r>
          </w:p>
        </w:tc>
        <w:tc>
          <w:tcPr>
            <w:tcW w:w="1890" w:type="dxa"/>
            <w:noWrap/>
            <w:vAlign w:val="center"/>
            <w:hideMark/>
          </w:tcPr>
          <w:p w:rsidR="00AB147E" w:rsidRPr="008F1E2D" w:rsidRDefault="00AB147E" w:rsidP="0006636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$  424,950,600</w:t>
            </w:r>
          </w:p>
        </w:tc>
      </w:tr>
      <w:tr w:rsidR="00AB147E" w:rsidRPr="008F1E2D" w:rsidTr="00D0277C">
        <w:trPr>
          <w:trHeight w:val="315"/>
          <w:jc w:val="center"/>
        </w:trPr>
        <w:tc>
          <w:tcPr>
            <w:tcW w:w="4614" w:type="dxa"/>
            <w:noWrap/>
            <w:vAlign w:val="center"/>
            <w:hideMark/>
          </w:tcPr>
          <w:p w:rsidR="00AB147E" w:rsidRPr="008F1E2D" w:rsidRDefault="00AB147E" w:rsidP="000663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Production chain</w:t>
            </w:r>
          </w:p>
        </w:tc>
        <w:tc>
          <w:tcPr>
            <w:tcW w:w="1890" w:type="dxa"/>
            <w:noWrap/>
            <w:vAlign w:val="center"/>
            <w:hideMark/>
          </w:tcPr>
          <w:p w:rsidR="00AB147E" w:rsidRPr="008F1E2D" w:rsidRDefault="00AB147E" w:rsidP="0006636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$ 28,210,000</w:t>
            </w:r>
          </w:p>
        </w:tc>
      </w:tr>
      <w:tr w:rsidR="00AB147E" w:rsidRPr="008F1E2D" w:rsidTr="00D0277C">
        <w:trPr>
          <w:trHeight w:val="315"/>
          <w:jc w:val="center"/>
        </w:trPr>
        <w:tc>
          <w:tcPr>
            <w:tcW w:w="4614" w:type="dxa"/>
            <w:noWrap/>
            <w:vAlign w:val="center"/>
            <w:hideMark/>
          </w:tcPr>
          <w:p w:rsidR="00AB147E" w:rsidRPr="008F1E2D" w:rsidRDefault="00AB147E" w:rsidP="000663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Monitoring</w:t>
            </w:r>
          </w:p>
        </w:tc>
        <w:tc>
          <w:tcPr>
            <w:tcW w:w="1890" w:type="dxa"/>
            <w:noWrap/>
            <w:vAlign w:val="center"/>
            <w:hideMark/>
          </w:tcPr>
          <w:p w:rsidR="00AB147E" w:rsidRPr="008F1E2D" w:rsidRDefault="00AB147E" w:rsidP="0006636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$ 87,539,280</w:t>
            </w:r>
          </w:p>
        </w:tc>
      </w:tr>
      <w:tr w:rsidR="00AB147E" w:rsidRPr="008F1E2D" w:rsidTr="00D0277C">
        <w:trPr>
          <w:trHeight w:val="315"/>
          <w:jc w:val="center"/>
        </w:trPr>
        <w:tc>
          <w:tcPr>
            <w:tcW w:w="4614" w:type="dxa"/>
            <w:noWrap/>
            <w:vAlign w:val="center"/>
            <w:hideMark/>
          </w:tcPr>
          <w:p w:rsidR="00AB147E" w:rsidRPr="008F1E2D" w:rsidRDefault="00AB147E" w:rsidP="000663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MX"/>
              </w:rPr>
              <w:t>Total</w:t>
            </w:r>
          </w:p>
        </w:tc>
        <w:tc>
          <w:tcPr>
            <w:tcW w:w="1890" w:type="dxa"/>
            <w:noWrap/>
            <w:vAlign w:val="center"/>
            <w:hideMark/>
          </w:tcPr>
          <w:p w:rsidR="00AB147E" w:rsidRPr="008F1E2D" w:rsidRDefault="00AB147E" w:rsidP="0006636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MX"/>
              </w:rPr>
              <w:t>$ 540,699,880</w:t>
            </w:r>
          </w:p>
        </w:tc>
      </w:tr>
    </w:tbl>
    <w:p w:rsidR="00127391" w:rsidRPr="008F1E2D" w:rsidRDefault="00127391" w:rsidP="00066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7391" w:rsidRPr="008F1E2D" w:rsidRDefault="00127391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Therefore</w:t>
      </w:r>
      <w:r w:rsidR="00397B14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the</w:t>
      </w:r>
      <w:r w:rsidR="00397B1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economic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impact for permits and licences holders</w:t>
      </w:r>
      <w:r w:rsidR="00953E0B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, as well as the production chain</w:t>
      </w:r>
      <w:r w:rsidR="00397B1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will be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mitigated </w:t>
      </w:r>
      <w:r w:rsidR="00953E0B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through the economic compensation that the Federal Government will provide. </w:t>
      </w:r>
      <w:r w:rsidR="002C78F5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 turn, </w:t>
      </w:r>
      <w:r w:rsidR="00397B14">
        <w:rPr>
          <w:rFonts w:ascii="Times New Roman" w:eastAsia="Times New Roman" w:hAnsi="Times New Roman" w:cs="Times New Roman"/>
          <w:sz w:val="24"/>
          <w:szCs w:val="24"/>
          <w:lang w:eastAsia="es-MX"/>
        </w:rPr>
        <w:t>whereas the current scheme would lead to</w:t>
      </w:r>
      <w:r w:rsidR="002C78F5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the vaquita becom</w:t>
      </w:r>
      <w:r w:rsidR="00397B14">
        <w:rPr>
          <w:rFonts w:ascii="Times New Roman" w:eastAsia="Times New Roman" w:hAnsi="Times New Roman" w:cs="Times New Roman"/>
          <w:sz w:val="24"/>
          <w:szCs w:val="24"/>
          <w:lang w:eastAsia="es-MX"/>
        </w:rPr>
        <w:t>ing</w:t>
      </w:r>
      <w:r w:rsidR="002C78F5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extinct by 2018 </w:t>
      </w:r>
      <w:r w:rsidR="00397B14">
        <w:rPr>
          <w:rFonts w:ascii="Times New Roman" w:eastAsia="Times New Roman" w:hAnsi="Times New Roman" w:cs="Times New Roman"/>
          <w:sz w:val="24"/>
          <w:szCs w:val="24"/>
          <w:lang w:eastAsia="es-MX"/>
        </w:rPr>
        <w:t>at</w:t>
      </w:r>
      <w:r w:rsidR="002C78F5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 18% annual decline (CIRVA, 2014), the implementation of this regulation would lead to a 4% annual increase (see Table 3).</w:t>
      </w:r>
    </w:p>
    <w:p w:rsidR="00F412E6" w:rsidRPr="008F1E2D" w:rsidRDefault="00F412E6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C78F5" w:rsidRPr="008F1E2D" w:rsidRDefault="002C78F5" w:rsidP="009E6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Table 3. Comparison of the current scenario and the proposed regulation in terms of costs and benefits. </w:t>
      </w:r>
    </w:p>
    <w:p w:rsidR="005A0E3A" w:rsidRPr="008F1E2D" w:rsidRDefault="005A0E3A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A0E3A" w:rsidRPr="008F1E2D" w:rsidRDefault="005A0E3A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A0E3A" w:rsidRPr="008F1E2D" w:rsidRDefault="005A0E3A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A0E3A" w:rsidRPr="008F1E2D" w:rsidRDefault="005A0E3A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A0E3A" w:rsidRPr="008F1E2D" w:rsidRDefault="005A0E3A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8"/>
      </w:tblGrid>
      <w:tr w:rsidR="005A0E3A" w:rsidRPr="008F1E2D" w:rsidTr="0071184E">
        <w:trPr>
          <w:hidden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A0E3A" w:rsidRPr="008F1E2D" w:rsidRDefault="005A0E3A" w:rsidP="009E64E7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vanish/>
                <w:color w:val="365F91"/>
                <w:sz w:val="24"/>
                <w:szCs w:val="24"/>
                <w:lang w:eastAsia="es-MX"/>
              </w:rPr>
            </w:pPr>
          </w:p>
        </w:tc>
      </w:tr>
    </w:tbl>
    <w:p w:rsidR="005A0E3A" w:rsidRPr="008F1E2D" w:rsidRDefault="005A0E3A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A0E3A" w:rsidRPr="008F1E2D" w:rsidRDefault="005A0E3A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8"/>
      </w:tblGrid>
      <w:tr w:rsidR="005A0E3A" w:rsidRPr="008F1E2D" w:rsidTr="0071184E">
        <w:trPr>
          <w:hidden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A0E3A" w:rsidRPr="008F1E2D" w:rsidRDefault="005A0E3A" w:rsidP="009E64E7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vanish/>
                <w:color w:val="365F91"/>
                <w:sz w:val="24"/>
                <w:szCs w:val="24"/>
                <w:lang w:eastAsia="es-MX"/>
              </w:rPr>
            </w:pPr>
          </w:p>
        </w:tc>
      </w:tr>
    </w:tbl>
    <w:p w:rsidR="005A0E3A" w:rsidRPr="008F1E2D" w:rsidRDefault="005A0E3A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A0E3A" w:rsidRPr="008F1E2D" w:rsidRDefault="005A0E3A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625"/>
        <w:gridCol w:w="1724"/>
        <w:gridCol w:w="1686"/>
        <w:gridCol w:w="2011"/>
      </w:tblGrid>
      <w:tr w:rsidR="005A0E3A" w:rsidRPr="008F1E2D" w:rsidTr="002C78F5">
        <w:trPr>
          <w:hidden/>
        </w:trPr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A0E3A" w:rsidRPr="008F1E2D" w:rsidRDefault="00A517BC" w:rsidP="009E64E7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vanish/>
                <w:color w:val="365F91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vanish/>
                <w:color w:val="365F9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91pt;height:18pt" o:ole="">
                  <v:imagedata r:id="rId5" o:title=""/>
                </v:shape>
                <w:control r:id="rId6" w:name="DefaultOcxName12" w:shapeid="_x0000_i1028"/>
              </w:object>
            </w:r>
          </w:p>
        </w:tc>
      </w:tr>
      <w:tr w:rsidR="002C78F5" w:rsidRPr="008F1E2D" w:rsidTr="002C78F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C78F5" w:rsidRPr="008F1E2D" w:rsidRDefault="002C78F5" w:rsidP="009E6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lastRenderedPageBreak/>
              <w:t>Costs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C78F5" w:rsidRPr="008F1E2D" w:rsidRDefault="002C78F5" w:rsidP="009E6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2015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C78F5" w:rsidRPr="008F1E2D" w:rsidRDefault="002C78F5" w:rsidP="009E6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C78F5" w:rsidRPr="008F1E2D" w:rsidRDefault="002C78F5" w:rsidP="009E6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C78F5" w:rsidRPr="008F1E2D" w:rsidRDefault="002C78F5" w:rsidP="009E6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2018</w:t>
            </w:r>
          </w:p>
        </w:tc>
      </w:tr>
      <w:tr w:rsidR="00D0277C" w:rsidRPr="008F1E2D" w:rsidTr="002C78F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Economic loss for fisheries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D0277C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2C78F5"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424,951,300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D0277C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2C78F5"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424,951,300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D0277C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2C78F5"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424,951,300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D0277C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2C78F5"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424,951,300</w:t>
            </w:r>
          </w:p>
        </w:tc>
      </w:tr>
      <w:tr w:rsidR="00D0277C" w:rsidRPr="008F1E2D" w:rsidTr="002C78F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Vaquita decline¹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2C78F5" w:rsidRPr="008F1E2D" w:rsidTr="002C78F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Benefits</w:t>
            </w:r>
          </w:p>
        </w:tc>
      </w:tr>
      <w:tr w:rsidR="00D0277C" w:rsidRPr="008F1E2D" w:rsidTr="002C78F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Compensation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D0277C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2C78F5"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424,950,600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D0277C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2C78F5"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424,950,600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D0277C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2C78F5"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424,950,600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D0277C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2C78F5"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424,950,600</w:t>
            </w:r>
          </w:p>
        </w:tc>
      </w:tr>
      <w:tr w:rsidR="00D0277C" w:rsidRPr="008F1E2D" w:rsidTr="002C78F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5" w:rsidRPr="008F1E2D" w:rsidRDefault="00D0277C" w:rsidP="00397B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Vaquita population increase</w:t>
            </w:r>
            <w:r w:rsidR="002C78F5"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54.32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60.53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5" w:rsidRPr="008F1E2D" w:rsidRDefault="002C78F5" w:rsidP="00066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F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63.01</w:t>
            </w:r>
          </w:p>
        </w:tc>
      </w:tr>
    </w:tbl>
    <w:p w:rsidR="005A0E3A" w:rsidRPr="008F1E2D" w:rsidRDefault="005A0E3A" w:rsidP="00066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0277C" w:rsidRPr="0002396D" w:rsidRDefault="0002396D" w:rsidP="009E64E7">
      <w:pPr>
        <w:spacing w:before="75" w:after="75"/>
        <w:jc w:val="both"/>
        <w:rPr>
          <w:rFonts w:ascii="Times New Roman" w:eastAsia="Times New Roman" w:hAnsi="Times New Roman" w:cs="Times New Roman"/>
          <w:lang w:eastAsia="es-MX"/>
        </w:rPr>
      </w:pPr>
      <w:r w:rsidRPr="0002396D">
        <w:rPr>
          <w:rFonts w:ascii="Times New Roman" w:eastAsia="Times New Roman" w:hAnsi="Times New Roman" w:cs="Times New Roman"/>
          <w:lang w:eastAsia="es-MX"/>
        </w:rPr>
        <w:t>¹ CIRVA estimated a</w:t>
      </w:r>
      <w:r w:rsidR="00D0277C" w:rsidRPr="0002396D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02396D">
        <w:rPr>
          <w:rFonts w:ascii="Times New Roman" w:eastAsia="Times New Roman" w:hAnsi="Times New Roman" w:cs="Times New Roman"/>
          <w:lang w:eastAsia="es-MX"/>
        </w:rPr>
        <w:t>vaquita</w:t>
      </w:r>
      <w:proofErr w:type="spellEnd"/>
      <w:r w:rsidRPr="0002396D">
        <w:rPr>
          <w:rFonts w:ascii="Times New Roman" w:eastAsia="Times New Roman" w:hAnsi="Times New Roman" w:cs="Times New Roman"/>
          <w:lang w:eastAsia="es-MX"/>
        </w:rPr>
        <w:t xml:space="preserve"> </w:t>
      </w:r>
      <w:r w:rsidR="00D0277C" w:rsidRPr="0002396D">
        <w:rPr>
          <w:rFonts w:ascii="Times New Roman" w:eastAsia="Times New Roman" w:hAnsi="Times New Roman" w:cs="Times New Roman"/>
          <w:lang w:eastAsia="es-MX"/>
        </w:rPr>
        <w:t xml:space="preserve">annual mortality rate of 18%, with the most recent </w:t>
      </w:r>
      <w:r w:rsidRPr="0002396D">
        <w:rPr>
          <w:rFonts w:ascii="Times New Roman" w:eastAsia="Times New Roman" w:hAnsi="Times New Roman" w:cs="Times New Roman"/>
          <w:lang w:eastAsia="es-MX"/>
        </w:rPr>
        <w:t xml:space="preserve">total </w:t>
      </w:r>
      <w:r w:rsidR="00D0277C" w:rsidRPr="0002396D">
        <w:rPr>
          <w:rFonts w:ascii="Times New Roman" w:eastAsia="Times New Roman" w:hAnsi="Times New Roman" w:cs="Times New Roman"/>
          <w:lang w:eastAsia="es-MX"/>
        </w:rPr>
        <w:t xml:space="preserve">estimate of 97 individuals. </w:t>
      </w:r>
    </w:p>
    <w:p w:rsidR="00840818" w:rsidRPr="0002396D" w:rsidRDefault="00D0277C" w:rsidP="009E64E7">
      <w:pPr>
        <w:spacing w:before="75" w:after="75"/>
        <w:jc w:val="both"/>
        <w:rPr>
          <w:rFonts w:ascii="Times New Roman" w:eastAsia="Times New Roman" w:hAnsi="Times New Roman" w:cs="Times New Roman"/>
          <w:lang w:eastAsia="es-MX"/>
        </w:rPr>
      </w:pPr>
      <w:r w:rsidRPr="0002396D">
        <w:rPr>
          <w:rFonts w:ascii="Times New Roman" w:eastAsia="Times New Roman" w:hAnsi="Times New Roman" w:cs="Times New Roman"/>
          <w:lang w:eastAsia="es-MX"/>
        </w:rPr>
        <w:t xml:space="preserve">² </w:t>
      </w:r>
      <w:r w:rsidR="0002396D" w:rsidRPr="0002396D">
        <w:rPr>
          <w:rFonts w:ascii="Times New Roman" w:eastAsia="Times New Roman" w:hAnsi="Times New Roman" w:cs="Times New Roman"/>
          <w:lang w:eastAsia="es-MX"/>
        </w:rPr>
        <w:t>Th</w:t>
      </w:r>
      <w:r w:rsidR="00840818" w:rsidRPr="0002396D">
        <w:rPr>
          <w:rFonts w:ascii="Times New Roman" w:eastAsia="Times New Roman" w:hAnsi="Times New Roman" w:cs="Times New Roman"/>
          <w:lang w:eastAsia="es-MX"/>
        </w:rPr>
        <w:t xml:space="preserve">e </w:t>
      </w:r>
      <w:r w:rsidR="0002396D" w:rsidRPr="0002396D">
        <w:rPr>
          <w:rFonts w:ascii="Times New Roman" w:eastAsia="Times New Roman" w:hAnsi="Times New Roman" w:cs="Times New Roman"/>
          <w:lang w:eastAsia="es-MX"/>
        </w:rPr>
        <w:t xml:space="preserve">"Vaquita Project final report" </w:t>
      </w:r>
      <w:r w:rsidR="00840818" w:rsidRPr="0002396D">
        <w:rPr>
          <w:rFonts w:ascii="Times New Roman" w:eastAsia="Times New Roman" w:hAnsi="Times New Roman" w:cs="Times New Roman"/>
          <w:lang w:eastAsia="es-MX"/>
        </w:rPr>
        <w:t>estimate</w:t>
      </w:r>
      <w:r w:rsidR="0002396D" w:rsidRPr="0002396D">
        <w:rPr>
          <w:rFonts w:ascii="Times New Roman" w:eastAsia="Times New Roman" w:hAnsi="Times New Roman" w:cs="Times New Roman"/>
          <w:lang w:eastAsia="es-MX"/>
        </w:rPr>
        <w:t>s</w:t>
      </w:r>
      <w:r w:rsidR="00840818" w:rsidRPr="0002396D">
        <w:rPr>
          <w:rFonts w:ascii="Times New Roman" w:eastAsia="Times New Roman" w:hAnsi="Times New Roman" w:cs="Times New Roman"/>
          <w:lang w:eastAsia="es-MX"/>
        </w:rPr>
        <w:t xml:space="preserve"> that the implementation of the measures </w:t>
      </w:r>
      <w:r w:rsidR="0002396D" w:rsidRPr="0002396D">
        <w:rPr>
          <w:rFonts w:ascii="Times New Roman" w:eastAsia="Times New Roman" w:hAnsi="Times New Roman" w:cs="Times New Roman"/>
          <w:lang w:eastAsia="es-MX"/>
        </w:rPr>
        <w:t>presented</w:t>
      </w:r>
      <w:r w:rsidR="00840818" w:rsidRPr="0002396D">
        <w:rPr>
          <w:rFonts w:ascii="Times New Roman" w:eastAsia="Times New Roman" w:hAnsi="Times New Roman" w:cs="Times New Roman"/>
          <w:lang w:eastAsia="es-MX"/>
        </w:rPr>
        <w:t xml:space="preserve"> in the present agreement will lead to a 4% an</w:t>
      </w:r>
      <w:r w:rsidR="0002396D" w:rsidRPr="0002396D">
        <w:rPr>
          <w:rFonts w:ascii="Times New Roman" w:eastAsia="Times New Roman" w:hAnsi="Times New Roman" w:cs="Times New Roman"/>
          <w:lang w:eastAsia="es-MX"/>
        </w:rPr>
        <w:t>n</w:t>
      </w:r>
      <w:r w:rsidR="00840818" w:rsidRPr="0002396D">
        <w:rPr>
          <w:rFonts w:ascii="Times New Roman" w:eastAsia="Times New Roman" w:hAnsi="Times New Roman" w:cs="Times New Roman"/>
          <w:lang w:eastAsia="es-MX"/>
        </w:rPr>
        <w:t xml:space="preserve">ual increase in the vaquita population. </w:t>
      </w:r>
    </w:p>
    <w:p w:rsidR="00D0277C" w:rsidRPr="008F1E2D" w:rsidRDefault="00D0277C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862B5" w:rsidRPr="008F1E2D" w:rsidRDefault="003862B5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>The vaquita does not have a market value and there are</w:t>
      </w:r>
      <w:r w:rsidR="0002396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 studies or estimate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 to date of the economic value of this species. Therefore, the increase in the population is not included in the economic benefits of the implementation of this agreement. However, </w:t>
      </w:r>
      <w:r w:rsidR="0002396D">
        <w:rPr>
          <w:rFonts w:ascii="Times New Roman" w:eastAsia="Times New Roman" w:hAnsi="Times New Roman" w:cs="Times New Roman"/>
          <w:sz w:val="24"/>
          <w:szCs w:val="24"/>
          <w:lang w:eastAsia="es-MX"/>
        </w:rPr>
        <w:t>inaction could lead to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2396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major 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economic impact </w:t>
      </w:r>
      <w:r w:rsidR="0002396D">
        <w:rPr>
          <w:rFonts w:ascii="Times New Roman" w:eastAsia="Times New Roman" w:hAnsi="Times New Roman" w:cs="Times New Roman"/>
          <w:sz w:val="24"/>
          <w:szCs w:val="24"/>
          <w:lang w:eastAsia="es-MX"/>
        </w:rPr>
        <w:t>through the confiscation of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fisheries in the Gulf of California, or even</w:t>
      </w:r>
      <w:r w:rsidR="0002396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at a national level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3862B5" w:rsidRPr="008F1E2D" w:rsidRDefault="003862B5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0277C" w:rsidRPr="008F1E2D" w:rsidRDefault="003747F3" w:rsidP="009E64E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SEMARAT, the Navy Secretariat and CONAPESCA through the </w:t>
      </w:r>
      <w:r w:rsidR="00F36BB1"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General 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Directorate of Inspection and Monitoring will </w:t>
      </w:r>
      <w:r w:rsidR="009E64E7">
        <w:rPr>
          <w:rFonts w:ascii="Times New Roman" w:eastAsia="Times New Roman" w:hAnsi="Times New Roman" w:cs="Times New Roman"/>
          <w:sz w:val="24"/>
          <w:szCs w:val="24"/>
          <w:lang w:eastAsia="es-MX"/>
        </w:rPr>
        <w:t>be responsible for the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monitoring and </w:t>
      </w:r>
      <w:r w:rsidR="009E64E7">
        <w:rPr>
          <w:rFonts w:ascii="Times New Roman" w:eastAsia="Times New Roman" w:hAnsi="Times New Roman" w:cs="Times New Roman"/>
          <w:sz w:val="24"/>
          <w:szCs w:val="24"/>
          <w:lang w:eastAsia="es-MX"/>
        </w:rPr>
        <w:t>compliance enforcement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 the area</w:t>
      </w:r>
      <w:r w:rsidR="009E64E7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and INAPESCA, as well as other research institutions will carry out the trips to </w:t>
      </w:r>
      <w:r w:rsidR="009E64E7">
        <w:rPr>
          <w:rFonts w:ascii="Times New Roman" w:eastAsia="Times New Roman" w:hAnsi="Times New Roman" w:cs="Times New Roman"/>
          <w:sz w:val="24"/>
          <w:szCs w:val="24"/>
          <w:lang w:eastAsia="es-MX"/>
        </w:rPr>
        <w:t>conduct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vaquita population size</w:t>
      </w:r>
      <w:r w:rsidR="009E64E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estimates</w:t>
      </w:r>
      <w:r w:rsidRPr="008F1E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5A0E3A" w:rsidRPr="008F1E2D" w:rsidRDefault="005A0E3A" w:rsidP="0006636C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A0E3A" w:rsidRPr="008F1E2D" w:rsidRDefault="005A0E3A" w:rsidP="0006636C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A0E3A" w:rsidRPr="008F1E2D" w:rsidRDefault="005A0E3A" w:rsidP="000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88D" w:rsidRPr="008F1E2D" w:rsidRDefault="0000488D" w:rsidP="000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488D" w:rsidRPr="008F1E2D" w:rsidSect="003E4B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3A"/>
    <w:rsid w:val="0000488D"/>
    <w:rsid w:val="000163AF"/>
    <w:rsid w:val="0002396D"/>
    <w:rsid w:val="0006636C"/>
    <w:rsid w:val="000D53FB"/>
    <w:rsid w:val="000F2338"/>
    <w:rsid w:val="00127391"/>
    <w:rsid w:val="00137759"/>
    <w:rsid w:val="00195D09"/>
    <w:rsid w:val="002660E1"/>
    <w:rsid w:val="002C78F5"/>
    <w:rsid w:val="003747F3"/>
    <w:rsid w:val="003862B5"/>
    <w:rsid w:val="00397B14"/>
    <w:rsid w:val="00483B2F"/>
    <w:rsid w:val="004B71BE"/>
    <w:rsid w:val="004C39B3"/>
    <w:rsid w:val="005702B4"/>
    <w:rsid w:val="00584693"/>
    <w:rsid w:val="005A0E3A"/>
    <w:rsid w:val="006F293B"/>
    <w:rsid w:val="007E00C6"/>
    <w:rsid w:val="00805037"/>
    <w:rsid w:val="008334E4"/>
    <w:rsid w:val="00833DB7"/>
    <w:rsid w:val="00840818"/>
    <w:rsid w:val="008F1E2D"/>
    <w:rsid w:val="00953E0B"/>
    <w:rsid w:val="00964B51"/>
    <w:rsid w:val="009C0FEF"/>
    <w:rsid w:val="009E64E7"/>
    <w:rsid w:val="009F2F3A"/>
    <w:rsid w:val="009F798A"/>
    <w:rsid w:val="00A517BC"/>
    <w:rsid w:val="00A778A4"/>
    <w:rsid w:val="00AB0A72"/>
    <w:rsid w:val="00AB147E"/>
    <w:rsid w:val="00AF2B08"/>
    <w:rsid w:val="00B55AB8"/>
    <w:rsid w:val="00BA3C1E"/>
    <w:rsid w:val="00BE08B4"/>
    <w:rsid w:val="00CF3F46"/>
    <w:rsid w:val="00D0189B"/>
    <w:rsid w:val="00D0277C"/>
    <w:rsid w:val="00D67F74"/>
    <w:rsid w:val="00DF6501"/>
    <w:rsid w:val="00E20423"/>
    <w:rsid w:val="00E355D1"/>
    <w:rsid w:val="00E528F3"/>
    <w:rsid w:val="00E718D1"/>
    <w:rsid w:val="00E87673"/>
    <w:rsid w:val="00F10AFA"/>
    <w:rsid w:val="00F36BB1"/>
    <w:rsid w:val="00F412E6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7E8D90-80B1-4C90-8D06-8540BCE3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E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E3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A0E3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09"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023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96D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96D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Cosentino</dc:creator>
  <cp:lastModifiedBy>Justin Henkel</cp:lastModifiedBy>
  <cp:revision>2</cp:revision>
  <dcterms:created xsi:type="dcterms:W3CDTF">2015-06-21T23:38:00Z</dcterms:created>
  <dcterms:modified xsi:type="dcterms:W3CDTF">2015-06-21T23:38:00Z</dcterms:modified>
</cp:coreProperties>
</file>